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CC" w:rsidRPr="004F2DD5" w:rsidRDefault="00BB65CC" w:rsidP="004F2DD5">
      <w:pPr>
        <w:pStyle w:val="a8"/>
      </w:pPr>
      <w:r w:rsidRPr="004F2DD5">
        <w:t xml:space="preserve">Supplementary </w:t>
      </w:r>
      <w:r w:rsidR="004F2DD5" w:rsidRPr="004F2DD5">
        <w:t>material</w:t>
      </w:r>
    </w:p>
    <w:p w:rsidR="00BB65CC" w:rsidRDefault="00BB65CC" w:rsidP="004F2DD5">
      <w:pPr>
        <w:pStyle w:val="a8"/>
      </w:pPr>
    </w:p>
    <w:p w:rsidR="004F2DD5" w:rsidRPr="00DA31E9" w:rsidRDefault="00DA31E9" w:rsidP="004F2DD5">
      <w:pPr>
        <w:ind w:firstLine="420"/>
      </w:pPr>
      <w:r w:rsidRPr="00DA31E9">
        <w:t>Preoperative imaging with positron emission tomography and computed tomography (18F-FDG PET/CT) or contrast enhanced computed tomography (CECT) scan in operable cervical cancer: A prospective study</w:t>
      </w:r>
      <w:r w:rsidR="004F2DD5">
        <w:rPr>
          <w:rFonts w:hint="eastAsia"/>
        </w:rPr>
        <w:t>.</w:t>
      </w:r>
    </w:p>
    <w:p w:rsidR="00A610C4" w:rsidRDefault="00A610C4">
      <w:pPr>
        <w:widowControl/>
        <w:spacing w:after="160" w:line="259" w:lineRule="auto"/>
        <w:ind w:firstLineChars="0" w:firstLine="0"/>
        <w:jc w:val="left"/>
        <w:rPr>
          <w:sz w:val="18"/>
          <w:szCs w:val="18"/>
        </w:rPr>
      </w:pPr>
    </w:p>
    <w:p w:rsidR="00A610C4" w:rsidRDefault="00A610C4" w:rsidP="004F2DD5">
      <w:pPr>
        <w:pStyle w:val="aa"/>
      </w:pPr>
      <w:r w:rsidRPr="004F2DD5">
        <w:t xml:space="preserve">Supplementary Table 1. </w:t>
      </w:r>
      <w:r w:rsidRPr="00A610C4">
        <w:t>Metastatic Lymph Node Detection on CECT and 18F</w:t>
      </w:r>
      <w:r w:rsidR="004F2DD5" w:rsidRPr="004F2DD5">
        <w:rPr>
          <w:b w:val="0"/>
        </w:rPr>
        <w:t>-</w:t>
      </w:r>
      <w:r w:rsidRPr="00A610C4">
        <w:t>FDG PET/CT by Lymph Node Region and Right and Left Sides Combined.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559"/>
        <w:gridCol w:w="1502"/>
        <w:gridCol w:w="1530"/>
        <w:gridCol w:w="1440"/>
        <w:gridCol w:w="1440"/>
        <w:gridCol w:w="1531"/>
      </w:tblGrid>
      <w:tr w:rsidR="00BB65CC" w:rsidRPr="004F2DD5" w:rsidTr="004F2DD5">
        <w:trPr>
          <w:trHeight w:val="558"/>
          <w:jc w:val="center"/>
        </w:trPr>
        <w:tc>
          <w:tcPr>
            <w:tcW w:w="1326" w:type="dxa"/>
          </w:tcPr>
          <w:p w:rsidR="00BB65CC" w:rsidRPr="004F2DD5" w:rsidRDefault="00BB65CC" w:rsidP="004F2DD5">
            <w:pPr>
              <w:ind w:firstLine="420"/>
            </w:pPr>
          </w:p>
        </w:tc>
        <w:tc>
          <w:tcPr>
            <w:tcW w:w="4591" w:type="dxa"/>
            <w:gridSpan w:val="3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CECT scan</w:t>
            </w:r>
          </w:p>
        </w:tc>
        <w:tc>
          <w:tcPr>
            <w:tcW w:w="4411" w:type="dxa"/>
            <w:gridSpan w:val="3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18F-FDG PET/CT</w:t>
            </w:r>
          </w:p>
        </w:tc>
      </w:tr>
      <w:tr w:rsidR="00BB65CC" w:rsidRPr="004F2DD5" w:rsidTr="004F2DD5">
        <w:trPr>
          <w:trHeight w:val="844"/>
          <w:jc w:val="center"/>
        </w:trPr>
        <w:tc>
          <w:tcPr>
            <w:tcW w:w="1326" w:type="dxa"/>
          </w:tcPr>
          <w:p w:rsidR="00BB65CC" w:rsidRPr="004F2DD5" w:rsidRDefault="00BB65CC" w:rsidP="004F2DD5">
            <w:pPr>
              <w:ind w:firstLineChars="0" w:firstLine="0"/>
              <w:jc w:val="left"/>
            </w:pPr>
            <w:r w:rsidRPr="004F2DD5">
              <w:t>L</w:t>
            </w:r>
            <w:r w:rsidR="00DA31E9" w:rsidRPr="004F2DD5">
              <w:t xml:space="preserve">ymph </w:t>
            </w:r>
            <w:r w:rsidRPr="004F2DD5">
              <w:t>N</w:t>
            </w:r>
            <w:r w:rsidR="00DA31E9" w:rsidRPr="004F2DD5">
              <w:t>ode</w:t>
            </w:r>
            <w:r w:rsidRPr="004F2DD5">
              <w:t xml:space="preserve"> Group</w:t>
            </w:r>
          </w:p>
        </w:tc>
        <w:tc>
          <w:tcPr>
            <w:tcW w:w="1559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Sensitivity</w:t>
            </w:r>
          </w:p>
          <w:p w:rsidR="00BB65CC" w:rsidRPr="004F2DD5" w:rsidRDefault="002E39C6" w:rsidP="004F2DD5">
            <w:pPr>
              <w:ind w:firstLineChars="0" w:firstLine="0"/>
              <w:jc w:val="center"/>
            </w:pPr>
            <w:r w:rsidRPr="004F2DD5">
              <w:rPr>
                <w:sz w:val="20"/>
                <w:szCs w:val="20"/>
              </w:rPr>
              <w:t>TP</w:t>
            </w:r>
            <w:proofErr w:type="gramStart"/>
            <w:r w:rsidRPr="004F2DD5">
              <w:rPr>
                <w:sz w:val="20"/>
                <w:szCs w:val="20"/>
              </w:rPr>
              <w:t>/(</w:t>
            </w:r>
            <w:proofErr w:type="gramEnd"/>
            <w:r w:rsidRPr="004F2DD5">
              <w:rPr>
                <w:sz w:val="20"/>
                <w:szCs w:val="20"/>
              </w:rPr>
              <w:t>TP</w:t>
            </w:r>
            <w:r w:rsidR="004F2DD5">
              <w:rPr>
                <w:sz w:val="20"/>
                <w:szCs w:val="20"/>
              </w:rPr>
              <w:t xml:space="preserve"> </w:t>
            </w:r>
            <w:r w:rsidRPr="004F2DD5">
              <w:rPr>
                <w:sz w:val="20"/>
                <w:szCs w:val="20"/>
              </w:rPr>
              <w:t>+</w:t>
            </w:r>
            <w:r w:rsidR="004F2DD5">
              <w:rPr>
                <w:sz w:val="20"/>
                <w:szCs w:val="20"/>
              </w:rPr>
              <w:t xml:space="preserve"> </w:t>
            </w:r>
            <w:r w:rsidRPr="004F2DD5">
              <w:rPr>
                <w:sz w:val="20"/>
                <w:szCs w:val="20"/>
              </w:rPr>
              <w:t>FN)</w:t>
            </w:r>
            <w:r w:rsidR="00694FD3" w:rsidRPr="004F2DD5">
              <w:rPr>
                <w:sz w:val="20"/>
                <w:szCs w:val="20"/>
              </w:rPr>
              <w:t>*</w:t>
            </w:r>
            <w:r w:rsidRPr="004F2DD5">
              <w:t xml:space="preserve"> </w:t>
            </w:r>
            <w:r w:rsidR="00BB65CC" w:rsidRPr="004F2DD5">
              <w:t>(95% CI)</w:t>
            </w:r>
          </w:p>
          <w:p w:rsidR="00BB65CC" w:rsidRPr="004F2DD5" w:rsidRDefault="00BB65CC" w:rsidP="004F2DD5">
            <w:pPr>
              <w:ind w:firstLine="420"/>
              <w:jc w:val="center"/>
            </w:pPr>
          </w:p>
        </w:tc>
        <w:tc>
          <w:tcPr>
            <w:tcW w:w="1502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Specificity</w:t>
            </w:r>
          </w:p>
          <w:p w:rsidR="00BB65CC" w:rsidRPr="004F2DD5" w:rsidRDefault="002E39C6" w:rsidP="004F2DD5">
            <w:pPr>
              <w:ind w:firstLineChars="0" w:firstLine="0"/>
              <w:jc w:val="center"/>
            </w:pPr>
            <w:r w:rsidRPr="004F2DD5">
              <w:rPr>
                <w:sz w:val="20"/>
                <w:szCs w:val="20"/>
              </w:rPr>
              <w:t>TN/(TN+FP)</w:t>
            </w:r>
            <w:r w:rsidR="00694FD3" w:rsidRPr="004F2DD5">
              <w:rPr>
                <w:sz w:val="20"/>
                <w:szCs w:val="20"/>
              </w:rPr>
              <w:t>*</w:t>
            </w:r>
            <w:r w:rsidRPr="004F2DD5">
              <w:t xml:space="preserve"> </w:t>
            </w:r>
            <w:r w:rsidR="00BB65CC" w:rsidRPr="004F2DD5">
              <w:t>(95% CI)</w:t>
            </w:r>
          </w:p>
        </w:tc>
        <w:tc>
          <w:tcPr>
            <w:tcW w:w="153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Accuracy</w:t>
            </w:r>
          </w:p>
          <w:p w:rsidR="00BB65CC" w:rsidRPr="004F2DD5" w:rsidRDefault="002E39C6" w:rsidP="004F2DD5">
            <w:pPr>
              <w:ind w:firstLineChars="0" w:firstLine="0"/>
              <w:jc w:val="center"/>
            </w:pPr>
            <w:r w:rsidRPr="004F2DD5">
              <w:rPr>
                <w:sz w:val="20"/>
                <w:szCs w:val="20"/>
              </w:rPr>
              <w:t>(TP+TN)/(TP+TN+FN+FP)</w:t>
            </w:r>
            <w:r w:rsidR="00694FD3" w:rsidRPr="004F2DD5">
              <w:rPr>
                <w:sz w:val="20"/>
                <w:szCs w:val="20"/>
              </w:rPr>
              <w:t>*</w:t>
            </w:r>
            <w:r w:rsidRPr="004F2DD5">
              <w:t xml:space="preserve"> </w:t>
            </w:r>
            <w:r w:rsidR="00BB65CC" w:rsidRPr="004F2DD5">
              <w:t>(95% CI)</w:t>
            </w:r>
          </w:p>
        </w:tc>
        <w:tc>
          <w:tcPr>
            <w:tcW w:w="144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Sensitivity</w:t>
            </w:r>
          </w:p>
          <w:p w:rsidR="00DA31E9" w:rsidRPr="004F2DD5" w:rsidRDefault="002E39C6" w:rsidP="004F2DD5">
            <w:pPr>
              <w:ind w:firstLineChars="0" w:firstLine="0"/>
              <w:jc w:val="center"/>
            </w:pPr>
            <w:r w:rsidRPr="004F2DD5">
              <w:rPr>
                <w:sz w:val="20"/>
                <w:szCs w:val="20"/>
              </w:rPr>
              <w:t>TP/(TP+</w:t>
            </w:r>
            <w:proofErr w:type="gramStart"/>
            <w:r w:rsidRPr="004F2DD5">
              <w:rPr>
                <w:sz w:val="20"/>
                <w:szCs w:val="20"/>
              </w:rPr>
              <w:t>FN)</w:t>
            </w:r>
            <w:r w:rsidR="00694FD3" w:rsidRPr="004F2DD5">
              <w:rPr>
                <w:sz w:val="20"/>
                <w:szCs w:val="20"/>
              </w:rPr>
              <w:t>*</w:t>
            </w:r>
            <w:bookmarkStart w:id="0" w:name="_GoBack"/>
            <w:bookmarkEnd w:id="0"/>
            <w:proofErr w:type="gramEnd"/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(95% CI)</w:t>
            </w:r>
          </w:p>
        </w:tc>
        <w:tc>
          <w:tcPr>
            <w:tcW w:w="144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Specificity</w:t>
            </w:r>
          </w:p>
          <w:p w:rsidR="00BB65CC" w:rsidRPr="004F2DD5" w:rsidRDefault="002E39C6" w:rsidP="004F2DD5">
            <w:pPr>
              <w:ind w:firstLineChars="0" w:firstLine="0"/>
              <w:jc w:val="center"/>
            </w:pPr>
            <w:r w:rsidRPr="004F2DD5">
              <w:rPr>
                <w:sz w:val="20"/>
                <w:szCs w:val="20"/>
              </w:rPr>
              <w:t>TN/(TN+FP)</w:t>
            </w:r>
            <w:r w:rsidR="00694FD3" w:rsidRPr="004F2DD5">
              <w:rPr>
                <w:sz w:val="20"/>
                <w:szCs w:val="20"/>
              </w:rPr>
              <w:t>*</w:t>
            </w:r>
            <w:r w:rsidRPr="004F2DD5">
              <w:t xml:space="preserve">   </w:t>
            </w:r>
            <w:r w:rsidR="00BB65CC" w:rsidRPr="004F2DD5">
              <w:t>(95% CI)</w:t>
            </w:r>
          </w:p>
        </w:tc>
        <w:tc>
          <w:tcPr>
            <w:tcW w:w="1531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Accuracy</w:t>
            </w:r>
          </w:p>
          <w:p w:rsidR="00BB65CC" w:rsidRPr="004F2DD5" w:rsidRDefault="002E39C6" w:rsidP="004F2DD5">
            <w:pPr>
              <w:ind w:firstLineChars="0" w:firstLine="0"/>
              <w:jc w:val="center"/>
            </w:pPr>
            <w:r w:rsidRPr="004F2DD5">
              <w:rPr>
                <w:sz w:val="20"/>
                <w:szCs w:val="20"/>
              </w:rPr>
              <w:t>(TP+TN)/(TP+TN+FN+FP)</w:t>
            </w:r>
            <w:r w:rsidR="00694FD3" w:rsidRPr="004F2DD5">
              <w:rPr>
                <w:sz w:val="20"/>
                <w:szCs w:val="20"/>
              </w:rPr>
              <w:t>*</w:t>
            </w:r>
            <w:r w:rsidRPr="004F2DD5">
              <w:t xml:space="preserve"> </w:t>
            </w:r>
            <w:r w:rsidR="00BB65CC" w:rsidRPr="004F2DD5">
              <w:t>(95% CI)</w:t>
            </w:r>
          </w:p>
        </w:tc>
      </w:tr>
      <w:tr w:rsidR="00BB65CC" w:rsidRPr="004F2DD5" w:rsidTr="004F2DD5">
        <w:trPr>
          <w:trHeight w:val="844"/>
          <w:jc w:val="center"/>
        </w:trPr>
        <w:tc>
          <w:tcPr>
            <w:tcW w:w="1326" w:type="dxa"/>
          </w:tcPr>
          <w:p w:rsidR="00BB65CC" w:rsidRPr="004F2DD5" w:rsidRDefault="00BB65CC" w:rsidP="004F2DD5">
            <w:pPr>
              <w:ind w:firstLineChars="0" w:firstLine="0"/>
              <w:jc w:val="left"/>
            </w:pPr>
            <w:proofErr w:type="spellStart"/>
            <w:r w:rsidRPr="004F2DD5">
              <w:t>Paraaortic</w:t>
            </w:r>
            <w:proofErr w:type="spellEnd"/>
            <w:r w:rsidRPr="004F2DD5">
              <w:t xml:space="preserve">  lymph node</w:t>
            </w:r>
          </w:p>
        </w:tc>
        <w:tc>
          <w:tcPr>
            <w:tcW w:w="1559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0/3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rStyle w:val="10"/>
                <w:rFonts w:eastAsiaTheme="minorHAnsi" w:cs="Times New Roman"/>
                <w:b w:val="0"/>
                <w:sz w:val="21"/>
                <w:szCs w:val="21"/>
              </w:rPr>
            </w:pPr>
            <w:r w:rsidRPr="004F2DD5">
              <w:rPr>
                <w:rStyle w:val="10"/>
                <w:rFonts w:eastAsiaTheme="minorHAnsi" w:cs="Times New Roman"/>
                <w:b w:val="0"/>
                <w:sz w:val="21"/>
                <w:szCs w:val="21"/>
              </w:rPr>
              <w:t>0%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 xml:space="preserve">(95% CI </w:t>
            </w:r>
            <w:r w:rsidRPr="004F2DD5">
              <w:rPr>
                <w:lang w:eastAsia="en-IN"/>
              </w:rPr>
              <w:t>0</w:t>
            </w:r>
            <w:r w:rsidR="004F2DD5">
              <w:t>–</w:t>
            </w:r>
            <w:r w:rsidRPr="004F2DD5">
              <w:rPr>
                <w:lang w:eastAsia="en-IN"/>
              </w:rPr>
              <w:t>70.8%</w:t>
            </w:r>
            <w:r w:rsidRPr="004F2DD5">
              <w:t>)</w:t>
            </w:r>
          </w:p>
        </w:tc>
        <w:tc>
          <w:tcPr>
            <w:tcW w:w="1502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36/37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97.3%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 xml:space="preserve">(95% CI </w:t>
            </w:r>
            <w:r w:rsidRPr="004F2DD5">
              <w:rPr>
                <w:lang w:eastAsia="en-IN"/>
              </w:rPr>
              <w:t>85.8</w:t>
            </w:r>
            <w:r w:rsidR="004F2DD5">
              <w:t>–</w:t>
            </w:r>
            <w:r w:rsidRPr="004F2DD5">
              <w:rPr>
                <w:lang w:eastAsia="en-IN"/>
              </w:rPr>
              <w:t>99.9%</w:t>
            </w:r>
            <w:r w:rsidRPr="004F2DD5">
              <w:t xml:space="preserve"> )</w:t>
            </w:r>
          </w:p>
        </w:tc>
        <w:tc>
          <w:tcPr>
            <w:tcW w:w="153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36/40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90%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</w:t>
            </w:r>
            <w:r w:rsidRPr="004F2DD5">
              <w:rPr>
                <w:lang w:eastAsia="en-IN"/>
              </w:rPr>
              <w:t xml:space="preserve"> 76.3</w:t>
            </w:r>
            <w:r w:rsidR="004F2DD5">
              <w:t>–</w:t>
            </w:r>
            <w:r w:rsidRPr="004F2DD5">
              <w:rPr>
                <w:lang w:eastAsia="en-IN"/>
              </w:rPr>
              <w:t>97.2%)</w:t>
            </w:r>
          </w:p>
        </w:tc>
        <w:tc>
          <w:tcPr>
            <w:tcW w:w="1440" w:type="dxa"/>
          </w:tcPr>
          <w:p w:rsidR="004F2DD5" w:rsidRDefault="00BB65CC" w:rsidP="004F2DD5">
            <w:pPr>
              <w:ind w:firstLineChars="0" w:firstLine="0"/>
              <w:jc w:val="center"/>
            </w:pPr>
            <w:r w:rsidRPr="004F2DD5">
              <w:t>0/3</w:t>
            </w:r>
          </w:p>
          <w:p w:rsidR="004F2DD5" w:rsidRDefault="00BB65CC" w:rsidP="004F2DD5">
            <w:pPr>
              <w:ind w:firstLineChars="0" w:firstLine="0"/>
              <w:jc w:val="center"/>
            </w:pPr>
            <w:r w:rsidRPr="004F2DD5">
              <w:t>0%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 xml:space="preserve">(95% CI </w:t>
            </w:r>
            <w:r w:rsidRPr="004F2DD5">
              <w:rPr>
                <w:lang w:eastAsia="en-IN"/>
              </w:rPr>
              <w:t>0</w:t>
            </w:r>
            <w:r w:rsidR="004F2DD5">
              <w:t>–</w:t>
            </w:r>
            <w:r w:rsidRPr="004F2DD5">
              <w:rPr>
                <w:lang w:eastAsia="en-IN"/>
              </w:rPr>
              <w:t>70.8%</w:t>
            </w:r>
            <w:r w:rsidRPr="004F2DD5">
              <w:t>)</w:t>
            </w:r>
          </w:p>
        </w:tc>
        <w:tc>
          <w:tcPr>
            <w:tcW w:w="144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39/39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100%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 xml:space="preserve">(95% CI </w:t>
            </w:r>
            <w:r w:rsidRPr="004F2DD5">
              <w:rPr>
                <w:lang w:eastAsia="en-IN"/>
              </w:rPr>
              <w:t>91.0</w:t>
            </w:r>
            <w:r w:rsidR="004F2DD5">
              <w:t>–</w:t>
            </w:r>
            <w:r w:rsidRPr="004F2DD5">
              <w:rPr>
                <w:lang w:eastAsia="en-IN"/>
              </w:rPr>
              <w:t>100%)</w:t>
            </w:r>
          </w:p>
        </w:tc>
        <w:tc>
          <w:tcPr>
            <w:tcW w:w="1531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39/42</w:t>
            </w:r>
          </w:p>
          <w:p w:rsidR="004F2DD5" w:rsidRDefault="00BB65CC" w:rsidP="004F2DD5">
            <w:pPr>
              <w:ind w:firstLineChars="0" w:firstLine="0"/>
              <w:jc w:val="center"/>
            </w:pPr>
            <w:r w:rsidRPr="004F2DD5">
              <w:t>92.9%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 xml:space="preserve">(95% CI </w:t>
            </w:r>
            <w:r w:rsidRPr="004F2DD5">
              <w:rPr>
                <w:lang w:eastAsia="en-IN"/>
              </w:rPr>
              <w:t>80.5</w:t>
            </w:r>
            <w:r w:rsidR="004F2DD5">
              <w:t>–</w:t>
            </w:r>
            <w:r w:rsidRPr="004F2DD5">
              <w:rPr>
                <w:lang w:eastAsia="en-IN"/>
              </w:rPr>
              <w:t>98.5%)</w:t>
            </w:r>
          </w:p>
          <w:p w:rsidR="00BB65CC" w:rsidRPr="004F2DD5" w:rsidRDefault="00BB65CC" w:rsidP="004F2DD5">
            <w:pPr>
              <w:ind w:firstLine="420"/>
              <w:jc w:val="center"/>
            </w:pPr>
          </w:p>
        </w:tc>
      </w:tr>
      <w:tr w:rsidR="00BB65CC" w:rsidRPr="004F2DD5" w:rsidTr="004F2DD5">
        <w:trPr>
          <w:trHeight w:val="844"/>
          <w:jc w:val="center"/>
        </w:trPr>
        <w:tc>
          <w:tcPr>
            <w:tcW w:w="1326" w:type="dxa"/>
          </w:tcPr>
          <w:p w:rsidR="00BB65CC" w:rsidRPr="004F2DD5" w:rsidRDefault="00BB65CC" w:rsidP="004F2DD5">
            <w:pPr>
              <w:ind w:firstLineChars="0" w:firstLine="0"/>
              <w:jc w:val="left"/>
            </w:pPr>
            <w:r w:rsidRPr="004F2DD5">
              <w:t>Common iliac lymph node</w:t>
            </w:r>
          </w:p>
        </w:tc>
        <w:tc>
          <w:tcPr>
            <w:tcW w:w="1559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3/4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75%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19.4</w:t>
            </w:r>
            <w:r w:rsidR="004F2DD5">
              <w:t>–</w:t>
            </w:r>
            <w:r w:rsidRPr="004F2DD5">
              <w:t>99.4</w:t>
            </w:r>
            <w:r w:rsidRPr="004F2DD5">
              <w:rPr>
                <w:lang w:eastAsia="en-IN"/>
              </w:rPr>
              <w:t>%)</w:t>
            </w:r>
          </w:p>
          <w:p w:rsidR="00BB65CC" w:rsidRPr="004F2DD5" w:rsidRDefault="00BB65CC" w:rsidP="004F2DD5">
            <w:pPr>
              <w:ind w:firstLine="420"/>
              <w:jc w:val="center"/>
            </w:pPr>
          </w:p>
        </w:tc>
        <w:tc>
          <w:tcPr>
            <w:tcW w:w="1502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49/49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100%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</w:t>
            </w:r>
            <w:r w:rsidRPr="004F2DD5">
              <w:rPr>
                <w:lang w:eastAsia="en-IN"/>
              </w:rPr>
              <w:t xml:space="preserve"> 92.8</w:t>
            </w:r>
            <w:r w:rsidR="004F2DD5">
              <w:t>–</w:t>
            </w:r>
            <w:r w:rsidRPr="004F2DD5">
              <w:rPr>
                <w:lang w:eastAsia="en-IN"/>
              </w:rPr>
              <w:t>100%)</w:t>
            </w:r>
          </w:p>
        </w:tc>
        <w:tc>
          <w:tcPr>
            <w:tcW w:w="153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52/53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98.1%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89.9</w:t>
            </w:r>
            <w:r w:rsidR="004F2DD5">
              <w:t>–</w:t>
            </w:r>
            <w:r w:rsidRPr="004F2DD5">
              <w:t>99.9</w:t>
            </w:r>
            <w:r w:rsidRPr="004F2DD5">
              <w:rPr>
                <w:lang w:eastAsia="en-IN"/>
              </w:rPr>
              <w:t>%)</w:t>
            </w:r>
          </w:p>
        </w:tc>
        <w:tc>
          <w:tcPr>
            <w:tcW w:w="144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4/4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100%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 xml:space="preserve">(95% CI </w:t>
            </w:r>
            <w:r w:rsidRPr="004F2DD5">
              <w:rPr>
                <w:lang w:eastAsia="en-IN"/>
              </w:rPr>
              <w:t>39.8</w:t>
            </w:r>
            <w:r w:rsidR="004F2DD5">
              <w:t>–</w:t>
            </w:r>
            <w:r w:rsidRPr="004F2DD5">
              <w:rPr>
                <w:lang w:eastAsia="en-IN"/>
              </w:rPr>
              <w:t>100%)</w:t>
            </w:r>
          </w:p>
        </w:tc>
        <w:tc>
          <w:tcPr>
            <w:tcW w:w="144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48/51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94.1%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83.8</w:t>
            </w:r>
            <w:r w:rsidR="004F2DD5">
              <w:t>–</w:t>
            </w:r>
            <w:r w:rsidRPr="004F2DD5">
              <w:t>98.8</w:t>
            </w:r>
            <w:r w:rsidRPr="004F2DD5">
              <w:rPr>
                <w:lang w:eastAsia="en-IN"/>
              </w:rPr>
              <w:t>%)</w:t>
            </w:r>
          </w:p>
        </w:tc>
        <w:tc>
          <w:tcPr>
            <w:tcW w:w="1531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52/55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94.6%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84.9</w:t>
            </w:r>
            <w:r w:rsidR="004F2DD5">
              <w:t>–</w:t>
            </w:r>
            <w:r w:rsidRPr="004F2DD5">
              <w:t>98.9%</w:t>
            </w:r>
            <w:r w:rsidRPr="004F2DD5">
              <w:rPr>
                <w:lang w:eastAsia="en-IN"/>
              </w:rPr>
              <w:t>)</w:t>
            </w:r>
          </w:p>
        </w:tc>
      </w:tr>
      <w:tr w:rsidR="00BB65CC" w:rsidRPr="004F2DD5" w:rsidTr="004F2DD5">
        <w:trPr>
          <w:trHeight w:val="844"/>
          <w:jc w:val="center"/>
        </w:trPr>
        <w:tc>
          <w:tcPr>
            <w:tcW w:w="1326" w:type="dxa"/>
          </w:tcPr>
          <w:p w:rsidR="00BB65CC" w:rsidRPr="004F2DD5" w:rsidRDefault="00BB65CC" w:rsidP="004F2DD5">
            <w:pPr>
              <w:ind w:firstLineChars="0" w:firstLine="0"/>
              <w:jc w:val="left"/>
            </w:pPr>
            <w:r w:rsidRPr="004F2DD5">
              <w:t>Iliac lymph node</w:t>
            </w:r>
          </w:p>
        </w:tc>
        <w:tc>
          <w:tcPr>
            <w:tcW w:w="1559" w:type="dxa"/>
          </w:tcPr>
          <w:p w:rsidR="004F2DD5" w:rsidRDefault="00BB65CC" w:rsidP="004F2DD5">
            <w:pPr>
              <w:ind w:firstLineChars="0" w:firstLine="0"/>
              <w:jc w:val="center"/>
            </w:pPr>
            <w:r w:rsidRPr="004F2DD5">
              <w:t>6/12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50%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21.1</w:t>
            </w:r>
            <w:r w:rsidR="004F2DD5">
              <w:t>–</w:t>
            </w:r>
            <w:r w:rsidRPr="004F2DD5">
              <w:t>78.9</w:t>
            </w:r>
            <w:r w:rsidRPr="004F2DD5">
              <w:rPr>
                <w:lang w:eastAsia="en-IN"/>
              </w:rPr>
              <w:t>%)</w:t>
            </w:r>
          </w:p>
          <w:p w:rsidR="00BB65CC" w:rsidRPr="004F2DD5" w:rsidRDefault="00BB65CC" w:rsidP="004F2DD5">
            <w:pPr>
              <w:ind w:firstLine="420"/>
              <w:jc w:val="center"/>
            </w:pPr>
          </w:p>
          <w:p w:rsidR="00BB65CC" w:rsidRPr="004F2DD5" w:rsidRDefault="00BB65CC" w:rsidP="004F2DD5">
            <w:pPr>
              <w:ind w:firstLine="420"/>
              <w:jc w:val="center"/>
            </w:pPr>
          </w:p>
        </w:tc>
        <w:tc>
          <w:tcPr>
            <w:tcW w:w="1502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39/41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95.1%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83.5</w:t>
            </w:r>
            <w:r w:rsidR="004F2DD5">
              <w:t>–</w:t>
            </w:r>
            <w:r w:rsidRPr="004F2DD5">
              <w:t>99.4</w:t>
            </w:r>
            <w:r w:rsidRPr="004F2DD5">
              <w:rPr>
                <w:lang w:eastAsia="en-IN"/>
              </w:rPr>
              <w:t>%)</w:t>
            </w:r>
          </w:p>
        </w:tc>
        <w:tc>
          <w:tcPr>
            <w:tcW w:w="153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45/53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84.9%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72.4</w:t>
            </w:r>
            <w:r w:rsidR="004F2DD5">
              <w:t>–</w:t>
            </w:r>
            <w:r w:rsidRPr="004F2DD5">
              <w:t>93.3</w:t>
            </w:r>
            <w:r w:rsidRPr="004F2DD5">
              <w:rPr>
                <w:lang w:eastAsia="en-IN"/>
              </w:rPr>
              <w:t>%)</w:t>
            </w:r>
          </w:p>
        </w:tc>
        <w:tc>
          <w:tcPr>
            <w:tcW w:w="144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4/12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33.3%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(95% CI 9.9</w:t>
            </w:r>
            <w:r w:rsidR="004F2DD5">
              <w:t>–</w:t>
            </w:r>
            <w:r w:rsidRPr="004F2DD5">
              <w:t>65.1</w:t>
            </w:r>
            <w:r w:rsidRPr="004F2DD5">
              <w:rPr>
                <w:lang w:eastAsia="en-IN"/>
              </w:rPr>
              <w:t>%)</w:t>
            </w:r>
          </w:p>
        </w:tc>
        <w:tc>
          <w:tcPr>
            <w:tcW w:w="1440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42/43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97.7%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87.7</w:t>
            </w:r>
            <w:r w:rsidR="004F2DD5">
              <w:t>–</w:t>
            </w:r>
            <w:r w:rsidRPr="004F2DD5">
              <w:t>99.9</w:t>
            </w:r>
            <w:r w:rsidRPr="004F2DD5">
              <w:rPr>
                <w:lang w:eastAsia="en-IN"/>
              </w:rPr>
              <w:t>%)</w:t>
            </w:r>
          </w:p>
          <w:p w:rsidR="00BB65CC" w:rsidRPr="004F2DD5" w:rsidRDefault="00BB65CC" w:rsidP="004F2DD5">
            <w:pPr>
              <w:ind w:firstLine="420"/>
              <w:jc w:val="center"/>
            </w:pPr>
          </w:p>
        </w:tc>
        <w:tc>
          <w:tcPr>
            <w:tcW w:w="1531" w:type="dxa"/>
          </w:tcPr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46/55</w:t>
            </w:r>
          </w:p>
          <w:p w:rsidR="00BB65CC" w:rsidRPr="004F2DD5" w:rsidRDefault="00BB65CC" w:rsidP="004F2DD5">
            <w:pPr>
              <w:ind w:firstLineChars="0" w:firstLine="0"/>
              <w:jc w:val="center"/>
            </w:pPr>
            <w:r w:rsidRPr="004F2DD5">
              <w:t>83.6%</w:t>
            </w:r>
          </w:p>
          <w:p w:rsidR="00BB65CC" w:rsidRPr="004F2DD5" w:rsidRDefault="00BB65CC" w:rsidP="004F2DD5">
            <w:pPr>
              <w:ind w:firstLineChars="0" w:firstLine="0"/>
              <w:jc w:val="center"/>
              <w:rPr>
                <w:lang w:eastAsia="en-IN"/>
              </w:rPr>
            </w:pPr>
            <w:r w:rsidRPr="004F2DD5">
              <w:t>(95% CI 71.2</w:t>
            </w:r>
            <w:r w:rsidR="004F2DD5">
              <w:t>–</w:t>
            </w:r>
            <w:r w:rsidRPr="004F2DD5">
              <w:t>99.2</w:t>
            </w:r>
            <w:r w:rsidRPr="004F2DD5">
              <w:rPr>
                <w:lang w:eastAsia="en-IN"/>
              </w:rPr>
              <w:t>%)</w:t>
            </w:r>
          </w:p>
          <w:p w:rsidR="00BB65CC" w:rsidRPr="004F2DD5" w:rsidRDefault="00BB65CC" w:rsidP="004F2DD5">
            <w:pPr>
              <w:ind w:firstLine="420"/>
              <w:jc w:val="center"/>
            </w:pPr>
          </w:p>
        </w:tc>
      </w:tr>
    </w:tbl>
    <w:p w:rsidR="00694FD3" w:rsidRPr="00694FD3" w:rsidRDefault="00694FD3" w:rsidP="004F2DD5">
      <w:pPr>
        <w:pStyle w:val="ab"/>
        <w:rPr>
          <w:sz w:val="18"/>
          <w:szCs w:val="18"/>
        </w:rPr>
      </w:pPr>
      <w:r>
        <w:rPr>
          <w:sz w:val="18"/>
          <w:szCs w:val="18"/>
        </w:rPr>
        <w:t>*</w:t>
      </w:r>
      <w:r w:rsidRPr="00694FD3">
        <w:t xml:space="preserve"> </w:t>
      </w:r>
      <w:r w:rsidRPr="00AA4281">
        <w:t>TP</w:t>
      </w:r>
      <w:r w:rsidR="00467AE5">
        <w:t xml:space="preserve"> </w:t>
      </w:r>
      <w:r w:rsidRPr="00AA4281">
        <w:t>=</w:t>
      </w:r>
      <w:r w:rsidR="004F2DD5">
        <w:t xml:space="preserve"> </w:t>
      </w:r>
      <w:r w:rsidRPr="00AA4281">
        <w:t>true positive</w:t>
      </w:r>
      <w:r>
        <w:rPr>
          <w:b/>
        </w:rPr>
        <w:t xml:space="preserve">, </w:t>
      </w:r>
      <w:r w:rsidRPr="00AA4281">
        <w:t>FN</w:t>
      </w:r>
      <w:r w:rsidR="004F2DD5">
        <w:t xml:space="preserve"> </w:t>
      </w:r>
      <w:r w:rsidRPr="00AA4281">
        <w:t>=</w:t>
      </w:r>
      <w:r w:rsidR="004F2DD5">
        <w:t xml:space="preserve"> </w:t>
      </w:r>
      <w:r w:rsidRPr="00AA4281">
        <w:t>false negative, TN</w:t>
      </w:r>
      <w:r w:rsidR="004F2DD5">
        <w:t xml:space="preserve"> </w:t>
      </w:r>
      <w:r w:rsidRPr="00AA4281">
        <w:t>=</w:t>
      </w:r>
      <w:r w:rsidR="004F2DD5">
        <w:t xml:space="preserve"> </w:t>
      </w:r>
      <w:r w:rsidRPr="00AA4281">
        <w:t>true negative, FP</w:t>
      </w:r>
      <w:r w:rsidR="004F2DD5">
        <w:t xml:space="preserve"> </w:t>
      </w:r>
      <w:r w:rsidRPr="00AA4281">
        <w:t>=</w:t>
      </w:r>
      <w:r w:rsidR="004F2DD5">
        <w:t xml:space="preserve"> </w:t>
      </w:r>
      <w:r w:rsidRPr="00AA4281">
        <w:t>false positive</w:t>
      </w:r>
      <w:r w:rsidR="004F2DD5">
        <w:t>.</w:t>
      </w:r>
    </w:p>
    <w:sectPr w:rsidR="00694FD3" w:rsidRPr="00694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44" w:rsidRDefault="00D53944" w:rsidP="0007266F">
      <w:pPr>
        <w:ind w:firstLine="420"/>
      </w:pPr>
      <w:r>
        <w:separator/>
      </w:r>
    </w:p>
  </w:endnote>
  <w:endnote w:type="continuationSeparator" w:id="0">
    <w:p w:rsidR="00D53944" w:rsidRDefault="00D53944" w:rsidP="0007266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6F" w:rsidRDefault="0007266F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6F" w:rsidRDefault="0007266F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6F" w:rsidRDefault="0007266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44" w:rsidRDefault="00D53944" w:rsidP="0007266F">
      <w:pPr>
        <w:ind w:firstLine="420"/>
      </w:pPr>
      <w:r>
        <w:separator/>
      </w:r>
    </w:p>
  </w:footnote>
  <w:footnote w:type="continuationSeparator" w:id="0">
    <w:p w:rsidR="00D53944" w:rsidRDefault="00D53944" w:rsidP="0007266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6F" w:rsidRDefault="0007266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6F" w:rsidRDefault="0007266F" w:rsidP="004F2DD5">
    <w:pPr>
      <w:pStyle w:val="a4"/>
      <w:pBdr>
        <w:bottom w:val="none" w:sz="0" w:space="0" w:color="auto"/>
      </w:pBdr>
      <w:ind w:firstLine="360"/>
    </w:pPr>
  </w:p>
  <w:p w:rsidR="004F2DD5" w:rsidRDefault="004F2DD5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6F" w:rsidRDefault="0007266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21B"/>
    <w:multiLevelType w:val="hybridMultilevel"/>
    <w:tmpl w:val="D6DC55A2"/>
    <w:lvl w:ilvl="0" w:tplc="98D0CA3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 w:themeColor="text1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E11751"/>
    <w:multiLevelType w:val="hybridMultilevel"/>
    <w:tmpl w:val="4FFE29DE"/>
    <w:lvl w:ilvl="0" w:tplc="BAD4DFE8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661A69"/>
    <w:multiLevelType w:val="multilevel"/>
    <w:tmpl w:val="BB7C158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67"/>
    <w:rsid w:val="00015E67"/>
    <w:rsid w:val="0005406A"/>
    <w:rsid w:val="0007266F"/>
    <w:rsid w:val="00140E52"/>
    <w:rsid w:val="001F4FAE"/>
    <w:rsid w:val="00277736"/>
    <w:rsid w:val="00285EAA"/>
    <w:rsid w:val="002E39C6"/>
    <w:rsid w:val="002F3345"/>
    <w:rsid w:val="00340C81"/>
    <w:rsid w:val="00420667"/>
    <w:rsid w:val="00427070"/>
    <w:rsid w:val="0045115E"/>
    <w:rsid w:val="00467AE5"/>
    <w:rsid w:val="004F2DD5"/>
    <w:rsid w:val="004F425B"/>
    <w:rsid w:val="0053281D"/>
    <w:rsid w:val="005B055D"/>
    <w:rsid w:val="0067596E"/>
    <w:rsid w:val="00694FD3"/>
    <w:rsid w:val="007B31EA"/>
    <w:rsid w:val="007B333F"/>
    <w:rsid w:val="00826E64"/>
    <w:rsid w:val="009D0E5E"/>
    <w:rsid w:val="00A01EF9"/>
    <w:rsid w:val="00A52CD0"/>
    <w:rsid w:val="00A610C4"/>
    <w:rsid w:val="00A74811"/>
    <w:rsid w:val="00BB65CC"/>
    <w:rsid w:val="00BE6B40"/>
    <w:rsid w:val="00D01548"/>
    <w:rsid w:val="00D53944"/>
    <w:rsid w:val="00DA31E9"/>
    <w:rsid w:val="00DE5632"/>
    <w:rsid w:val="00F26DDF"/>
    <w:rsid w:val="00F3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9BE0CA"/>
  <w15:chartTrackingRefBased/>
  <w15:docId w15:val="{D1A56BCD-D0D5-42A6-873A-486498F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D5"/>
    <w:pPr>
      <w:widowControl w:val="0"/>
      <w:spacing w:after="0" w:line="240" w:lineRule="auto"/>
      <w:ind w:firstLineChars="200" w:firstLine="200"/>
      <w:jc w:val="both"/>
    </w:pPr>
    <w:rPr>
      <w:rFonts w:ascii="Times New Roman" w:eastAsia="仿宋" w:hAnsi="Times New Roman" w:cs="Times New Roman"/>
      <w:color w:val="000000" w:themeColor="text1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4F2DD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4F2DD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4F2DD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4F2DD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F2DD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F2DD5"/>
    <w:pPr>
      <w:keepNext/>
      <w:keepLines/>
      <w:numPr>
        <w:ilvl w:val="5"/>
        <w:numId w:val="6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F2DD5"/>
    <w:pPr>
      <w:keepNext/>
      <w:keepLines/>
      <w:numPr>
        <w:ilvl w:val="6"/>
        <w:numId w:val="6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F2DD5"/>
    <w:pPr>
      <w:keepNext/>
      <w:keepLines/>
      <w:numPr>
        <w:ilvl w:val="7"/>
        <w:numId w:val="6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DD5"/>
    <w:pPr>
      <w:keepNext/>
      <w:keepLines/>
      <w:numPr>
        <w:ilvl w:val="8"/>
        <w:numId w:val="6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4F2DD5"/>
    <w:rPr>
      <w:rFonts w:ascii="Times New Roman" w:eastAsia="仿宋" w:hAnsi="Times New Roman" w:cs="Book Antiqua"/>
      <w:b/>
      <w:bCs/>
      <w:color w:val="000000" w:themeColor="text1"/>
      <w:sz w:val="24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277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F2DD5"/>
    <w:rPr>
      <w:rFonts w:ascii="Times New Roman" w:eastAsia="仿宋" w:hAnsi="Times New Roman" w:cs="Times New Roman"/>
      <w:color w:val="000000" w:themeColor="text1"/>
      <w:kern w:val="2"/>
      <w:sz w:val="18"/>
      <w:szCs w:val="18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4F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F2DD5"/>
    <w:rPr>
      <w:rFonts w:ascii="Times New Roman" w:eastAsia="仿宋" w:hAnsi="Times New Roman" w:cs="Times New Roman"/>
      <w:color w:val="000000" w:themeColor="text1"/>
      <w:kern w:val="2"/>
      <w:sz w:val="18"/>
      <w:szCs w:val="18"/>
      <w:lang w:val="en-US" w:eastAsia="zh-CN"/>
    </w:rPr>
  </w:style>
  <w:style w:type="paragraph" w:customStyle="1" w:styleId="a8">
    <w:name w:val="文章标题"/>
    <w:basedOn w:val="a"/>
    <w:link w:val="a9"/>
    <w:autoRedefine/>
    <w:qFormat/>
    <w:rsid w:val="004F2DD5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9">
    <w:name w:val="文章标题 字符"/>
    <w:link w:val="a8"/>
    <w:rsid w:val="004F2DD5"/>
    <w:rPr>
      <w:rFonts w:ascii="Times New Roman" w:eastAsia="仿宋" w:hAnsi="Times New Roman" w:cs="Times New Roman"/>
      <w:b/>
      <w:bCs/>
      <w:color w:val="000000" w:themeColor="text1"/>
      <w:spacing w:val="-8"/>
      <w:kern w:val="2"/>
      <w:sz w:val="36"/>
      <w:szCs w:val="36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4F2DD5"/>
    <w:rPr>
      <w:rFonts w:ascii="Times New Roman" w:eastAsia="仿宋" w:hAnsi="Times New Roman" w:cs="Times New Roman"/>
      <w:b/>
      <w:bCs/>
      <w:i/>
      <w:color w:val="000000" w:themeColor="text1"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4F2DD5"/>
    <w:rPr>
      <w:rFonts w:ascii="Times New Roman" w:eastAsia="仿宋" w:hAnsi="Times New Roman" w:cs="Times New Roman"/>
      <w:bCs/>
      <w:i/>
      <w:color w:val="000000" w:themeColor="text1"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4F2DD5"/>
    <w:rPr>
      <w:rFonts w:ascii="Calibri Light" w:eastAsia="NimbusRomNo9L" w:hAnsi="Calibri Light" w:cs="NimbusRomNo9L"/>
      <w:b/>
      <w:bCs/>
      <w:color w:val="000000" w:themeColor="text1"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4F2DD5"/>
    <w:rPr>
      <w:rFonts w:ascii="Times New Roman" w:eastAsia="仿宋" w:hAnsi="Times New Roman" w:cs="Times New Roman"/>
      <w:b/>
      <w:bCs/>
      <w:color w:val="000000" w:themeColor="text1"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4F2DD5"/>
    <w:rPr>
      <w:rFonts w:ascii="等线 Light" w:eastAsia="等线 Light" w:hAnsi="等线 Light" w:cs="Times New Roman"/>
      <w:b/>
      <w:bCs/>
      <w:color w:val="000000" w:themeColor="text1"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4F2DD5"/>
    <w:rPr>
      <w:rFonts w:ascii="Times New Roman" w:eastAsia="仿宋" w:hAnsi="Times New Roman" w:cs="Times New Roman"/>
      <w:b/>
      <w:bCs/>
      <w:color w:val="000000" w:themeColor="text1"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4F2DD5"/>
    <w:rPr>
      <w:rFonts w:ascii="等线 Light" w:eastAsia="等线 Light" w:hAnsi="等线 Light" w:cs="Times New Roman"/>
      <w:color w:val="000000" w:themeColor="text1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4F2DD5"/>
    <w:rPr>
      <w:rFonts w:ascii="等线 Light" w:eastAsia="等线 Light" w:hAnsi="等线 Light" w:cs="Times New Roman"/>
      <w:color w:val="000000" w:themeColor="text1"/>
      <w:kern w:val="2"/>
      <w:sz w:val="21"/>
      <w:szCs w:val="21"/>
      <w:lang w:val="en-US" w:eastAsia="zh-CN"/>
    </w:rPr>
  </w:style>
  <w:style w:type="paragraph" w:customStyle="1" w:styleId="aa">
    <w:name w:val="表题"/>
    <w:basedOn w:val="a"/>
    <w:autoRedefine/>
    <w:qFormat/>
    <w:rsid w:val="004F2DD5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b">
    <w:name w:val="表注"/>
    <w:basedOn w:val="aa"/>
    <w:autoRedefine/>
    <w:qFormat/>
    <w:rsid w:val="004F2DD5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</w:rPr>
  </w:style>
  <w:style w:type="paragraph" w:customStyle="1" w:styleId="ac">
    <w:name w:val="参考文献"/>
    <w:basedOn w:val="a"/>
    <w:autoRedefine/>
    <w:qFormat/>
    <w:rsid w:val="004F2DD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d">
    <w:name w:val="稿件类型"/>
    <w:basedOn w:val="a"/>
    <w:autoRedefine/>
    <w:qFormat/>
    <w:rsid w:val="004F2DD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e">
    <w:name w:val="关键词"/>
    <w:basedOn w:val="a"/>
    <w:autoRedefine/>
    <w:qFormat/>
    <w:rsid w:val="004F2DD5"/>
    <w:pPr>
      <w:ind w:firstLineChars="0" w:firstLine="0"/>
    </w:pPr>
    <w:rPr>
      <w:noProof/>
    </w:rPr>
  </w:style>
  <w:style w:type="character" w:styleId="af">
    <w:name w:val="line number"/>
    <w:uiPriority w:val="99"/>
    <w:semiHidden/>
    <w:unhideWhenUsed/>
    <w:rsid w:val="004F2DD5"/>
  </w:style>
  <w:style w:type="paragraph" w:customStyle="1" w:styleId="af0">
    <w:name w:val="机构信息"/>
    <w:basedOn w:val="a"/>
    <w:link w:val="af1"/>
    <w:autoRedefine/>
    <w:qFormat/>
    <w:rsid w:val="004F2DD5"/>
    <w:pPr>
      <w:ind w:firstLineChars="0" w:firstLine="0"/>
    </w:pPr>
    <w:rPr>
      <w:i/>
    </w:rPr>
  </w:style>
  <w:style w:type="character" w:customStyle="1" w:styleId="af1">
    <w:name w:val="机构信息 字符"/>
    <w:link w:val="af0"/>
    <w:rsid w:val="004F2DD5"/>
    <w:rPr>
      <w:rFonts w:ascii="Times New Roman" w:eastAsia="仿宋" w:hAnsi="Times New Roman" w:cs="Times New Roman"/>
      <w:i/>
      <w:color w:val="000000" w:themeColor="text1"/>
      <w:kern w:val="2"/>
      <w:sz w:val="21"/>
      <w:szCs w:val="21"/>
      <w:lang w:val="en-US" w:eastAsia="zh-CN"/>
    </w:rPr>
  </w:style>
  <w:style w:type="paragraph" w:customStyle="1" w:styleId="af2">
    <w:name w:val="接收日期"/>
    <w:basedOn w:val="a"/>
    <w:autoRedefine/>
    <w:qFormat/>
    <w:rsid w:val="004F2DD5"/>
    <w:pPr>
      <w:ind w:firstLineChars="0" w:firstLine="0"/>
    </w:pPr>
  </w:style>
  <w:style w:type="paragraph" w:styleId="af3">
    <w:name w:val="annotation text"/>
    <w:basedOn w:val="a"/>
    <w:link w:val="af4"/>
    <w:uiPriority w:val="99"/>
    <w:unhideWhenUsed/>
    <w:rsid w:val="004F2DD5"/>
    <w:rPr>
      <w:rFonts w:eastAsia="Times New Roman"/>
    </w:rPr>
  </w:style>
  <w:style w:type="character" w:customStyle="1" w:styleId="af4">
    <w:name w:val="批注文字 字符"/>
    <w:basedOn w:val="a0"/>
    <w:link w:val="af3"/>
    <w:uiPriority w:val="99"/>
    <w:rsid w:val="004F2DD5"/>
    <w:rPr>
      <w:rFonts w:ascii="Times New Roman" w:eastAsia="Times New Roman" w:hAnsi="Times New Roman" w:cs="Times New Roman"/>
      <w:color w:val="000000" w:themeColor="text1"/>
      <w:kern w:val="2"/>
      <w:sz w:val="21"/>
      <w:szCs w:val="21"/>
      <w:lang w:val="en-US" w:eastAsia="zh-CN"/>
    </w:rPr>
  </w:style>
  <w:style w:type="paragraph" w:styleId="af5">
    <w:name w:val="Normal (Web)"/>
    <w:basedOn w:val="a"/>
    <w:uiPriority w:val="99"/>
    <w:unhideWhenUsed/>
    <w:rsid w:val="004F2DD5"/>
    <w:pPr>
      <w:spacing w:before="100" w:beforeAutospacing="1" w:after="100" w:afterAutospacing="1"/>
    </w:pPr>
    <w:rPr>
      <w:lang w:eastAsia="en-US"/>
    </w:rPr>
  </w:style>
  <w:style w:type="paragraph" w:customStyle="1" w:styleId="af6">
    <w:name w:val="通讯作者"/>
    <w:basedOn w:val="a"/>
    <w:autoRedefine/>
    <w:qFormat/>
    <w:rsid w:val="004F2DD5"/>
    <w:pPr>
      <w:ind w:firstLineChars="0" w:firstLine="0"/>
    </w:pPr>
  </w:style>
  <w:style w:type="paragraph" w:customStyle="1" w:styleId="af7">
    <w:name w:val="图注"/>
    <w:basedOn w:val="ab"/>
    <w:autoRedefine/>
    <w:qFormat/>
    <w:rsid w:val="004F2DD5"/>
  </w:style>
  <w:style w:type="table" w:styleId="af8">
    <w:name w:val="Table Grid"/>
    <w:basedOn w:val="a1"/>
    <w:uiPriority w:val="59"/>
    <w:qFormat/>
    <w:rsid w:val="004F2DD5"/>
    <w:pPr>
      <w:spacing w:after="0" w:line="240" w:lineRule="auto"/>
    </w:pPr>
    <w:rPr>
      <w:rFonts w:ascii="等线" w:eastAsia="等线" w:hAnsi="等线" w:cs="Times New Roman"/>
      <w:color w:val="000000" w:themeColor="text1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文章内容"/>
    <w:basedOn w:val="a"/>
    <w:link w:val="afa"/>
    <w:autoRedefine/>
    <w:rsid w:val="004F2DD5"/>
    <w:pPr>
      <w:ind w:firstLine="420"/>
    </w:pPr>
    <w:rPr>
      <w:color w:val="000000"/>
    </w:rPr>
  </w:style>
  <w:style w:type="character" w:customStyle="1" w:styleId="afa">
    <w:name w:val="文章内容 字符"/>
    <w:link w:val="af9"/>
    <w:rsid w:val="004F2DD5"/>
    <w:rPr>
      <w:rFonts w:ascii="Times New Roman" w:eastAsia="仿宋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b">
    <w:name w:val="摘要"/>
    <w:basedOn w:val="a"/>
    <w:autoRedefine/>
    <w:qFormat/>
    <w:rsid w:val="004F2DD5"/>
    <w:pPr>
      <w:ind w:firstLineChars="0" w:firstLine="0"/>
    </w:pPr>
    <w:rPr>
      <w:noProof/>
    </w:rPr>
  </w:style>
  <w:style w:type="character" w:styleId="afc">
    <w:name w:val="Placeholder Text"/>
    <w:uiPriority w:val="99"/>
    <w:semiHidden/>
    <w:rsid w:val="004F2DD5"/>
    <w:rPr>
      <w:color w:val="808080"/>
    </w:rPr>
  </w:style>
  <w:style w:type="paragraph" w:styleId="afd">
    <w:name w:val="Body Text"/>
    <w:basedOn w:val="a"/>
    <w:link w:val="afe"/>
    <w:autoRedefine/>
    <w:uiPriority w:val="1"/>
    <w:qFormat/>
    <w:rsid w:val="004F2DD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e">
    <w:name w:val="正文文本 字符"/>
    <w:link w:val="afd"/>
    <w:uiPriority w:val="1"/>
    <w:rsid w:val="004F2DD5"/>
    <w:rPr>
      <w:rFonts w:ascii="Times New Roman" w:eastAsia="仿宋" w:hAnsi="Times New Roman" w:cs="Times New Roman"/>
      <w:color w:val="000000" w:themeColor="text1"/>
      <w:sz w:val="21"/>
      <w:szCs w:val="21"/>
      <w:lang w:val="en-US" w:eastAsia="zh-CN"/>
    </w:rPr>
  </w:style>
  <w:style w:type="paragraph" w:customStyle="1" w:styleId="aff">
    <w:name w:val="致谢部分"/>
    <w:basedOn w:val="afd"/>
    <w:link w:val="aff0"/>
    <w:autoRedefine/>
    <w:qFormat/>
    <w:rsid w:val="004F2DD5"/>
    <w:pPr>
      <w:ind w:firstLineChars="0" w:firstLine="0"/>
    </w:pPr>
    <w:rPr>
      <w:b/>
      <w:sz w:val="24"/>
      <w:szCs w:val="24"/>
    </w:rPr>
  </w:style>
  <w:style w:type="character" w:customStyle="1" w:styleId="aff0">
    <w:name w:val="致谢部分 字符"/>
    <w:link w:val="aff"/>
    <w:rsid w:val="004F2DD5"/>
    <w:rPr>
      <w:rFonts w:ascii="Times New Roman" w:eastAsia="仿宋" w:hAnsi="Times New Roman" w:cs="Times New Roman"/>
      <w:b/>
      <w:color w:val="000000" w:themeColor="text1"/>
      <w:sz w:val="24"/>
      <w:szCs w:val="24"/>
      <w:lang w:val="en-US" w:eastAsia="zh-CN"/>
    </w:rPr>
  </w:style>
  <w:style w:type="paragraph" w:customStyle="1" w:styleId="aff1">
    <w:name w:val="作者信息"/>
    <w:basedOn w:val="a"/>
    <w:autoRedefine/>
    <w:qFormat/>
    <w:rsid w:val="004F2DD5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Layna</cp:lastModifiedBy>
  <cp:revision>26</cp:revision>
  <dcterms:created xsi:type="dcterms:W3CDTF">2022-06-25T05:31:00Z</dcterms:created>
  <dcterms:modified xsi:type="dcterms:W3CDTF">2022-07-15T08:13:00Z</dcterms:modified>
</cp:coreProperties>
</file>